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D0" w:rsidRPr="00C8510F" w:rsidRDefault="00E02ED0" w:rsidP="00E02ED0">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rPr>
      </w:pPr>
      <w:r w:rsidRPr="00C8510F">
        <w:rPr>
          <w:rFonts w:ascii="新細明體" w:hAnsi="新細明體" w:cs="新細明體" w:hint="eastAsia"/>
          <w:b/>
          <w:bCs/>
          <w:color w:val="000000"/>
          <w:sz w:val="28"/>
          <w:szCs w:val="24"/>
        </w:rPr>
        <w:t>機械</w:t>
      </w:r>
      <w:r w:rsidRPr="00C8510F">
        <w:rPr>
          <w:rFonts w:ascii="新細明體" w:hAnsi="新細明體" w:cs="新細明體"/>
          <w:b/>
          <w:bCs/>
          <w:color w:val="000000"/>
          <w:sz w:val="28"/>
          <w:szCs w:val="24"/>
        </w:rPr>
        <w:t>CE</w:t>
      </w:r>
      <w:r w:rsidRPr="00C8510F">
        <w:rPr>
          <w:rFonts w:ascii="新細明體" w:hAnsi="新細明體" w:cs="新細明體" w:hint="eastAsia"/>
          <w:b/>
          <w:bCs/>
          <w:color w:val="000000"/>
          <w:sz w:val="28"/>
          <w:szCs w:val="24"/>
        </w:rPr>
        <w:t>認證</w:t>
      </w:r>
      <w:r w:rsidRPr="00C8510F">
        <w:rPr>
          <w:rFonts w:ascii="新細明體" w:hAnsi="新細明體" w:cs="新細明體"/>
          <w:b/>
          <w:bCs/>
          <w:color w:val="000000"/>
          <w:sz w:val="28"/>
          <w:szCs w:val="24"/>
        </w:rPr>
        <w:t xml:space="preserve"> - </w:t>
      </w:r>
      <w:r w:rsidRPr="00C8510F">
        <w:rPr>
          <w:rFonts w:ascii="新細明體" w:hAnsi="新細明體" w:cs="新細明體" w:hint="eastAsia"/>
          <w:b/>
          <w:bCs/>
          <w:color w:val="000000"/>
          <w:sz w:val="28"/>
          <w:szCs w:val="24"/>
        </w:rPr>
        <w:t>機械安全的評估標準</w:t>
      </w:r>
    </w:p>
    <w:p w:rsidR="00E02ED0" w:rsidRDefault="00E02ED0" w:rsidP="00E02ED0">
      <w:pPr>
        <w:rPr>
          <w:rFonts w:ascii="新細明體" w:hAnsi="新細明體" w:cs="新細明體" w:hint="eastAsia"/>
          <w:color w:val="000000"/>
          <w:szCs w:val="24"/>
        </w:rPr>
      </w:pPr>
      <w:r w:rsidRPr="00C8510F">
        <w:rPr>
          <w:rFonts w:ascii="新細明體" w:hAnsi="新細明體" w:cs="新細明體" w:hint="eastAsia"/>
          <w:color w:val="000000"/>
          <w:szCs w:val="24"/>
          <w:shd w:val="clear" w:color="auto" w:fill="FFFFFF"/>
        </w:rPr>
        <w:t xml:space="preserve">　　歐盟除了制定各種不同的產品安全指令之外，另頒佈了許多不同的產品安全標準。有些適用於某特定產品，有些則為適用多項產品的通用評估法則。</w:t>
      </w:r>
      <w:r w:rsidRPr="00C8510F">
        <w:rPr>
          <w:rFonts w:ascii="新細明體" w:hAnsi="新細明體" w:cs="新細明體"/>
          <w:color w:val="000000"/>
          <w:szCs w:val="24"/>
        </w:rPr>
        <w:t> </w:t>
      </w:r>
    </w:p>
    <w:p w:rsidR="00E02ED0" w:rsidRDefault="00E02ED0" w:rsidP="00E02ED0">
      <w:pPr>
        <w:rPr>
          <w:rFonts w:ascii="新細明體" w:hAnsi="新細明體" w:cs="新細明體" w:hint="eastAsia"/>
          <w:color w:val="000000"/>
          <w:szCs w:val="24"/>
        </w:rPr>
      </w:pP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hint="eastAsia"/>
          <w:b/>
          <w:bCs/>
          <w:color w:val="000000"/>
          <w:szCs w:val="24"/>
          <w:shd w:val="clear" w:color="auto" w:fill="FFFFFF"/>
        </w:rPr>
        <w:t>機械類產品適用的標準一般分為以下幾類：</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A</w:t>
      </w:r>
      <w:r w:rsidRPr="00C8510F">
        <w:rPr>
          <w:rFonts w:ascii="新細明體" w:hAnsi="新細明體" w:cs="新細明體" w:hint="eastAsia"/>
          <w:b/>
          <w:bCs/>
          <w:color w:val="000000"/>
          <w:szCs w:val="24"/>
          <w:shd w:val="clear" w:color="auto" w:fill="FFFFFF"/>
        </w:rPr>
        <w:t>類標準（基本安全標準）</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主要是對基本概念，設計原則及適用於所有機械的通用要求。</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B</w:t>
      </w:r>
      <w:r w:rsidRPr="00C8510F">
        <w:rPr>
          <w:rFonts w:ascii="新細明體" w:hAnsi="新細明體" w:cs="新細明體" w:hint="eastAsia"/>
          <w:b/>
          <w:bCs/>
          <w:color w:val="000000"/>
          <w:szCs w:val="24"/>
          <w:shd w:val="clear" w:color="auto" w:fill="FFFFFF"/>
        </w:rPr>
        <w:t>類標準（類屬安全標準）</w:t>
      </w:r>
      <w:r w:rsidRPr="00C8510F">
        <w:rPr>
          <w:rFonts w:ascii="新細明體" w:hAnsi="新細明體" w:cs="新細明體" w:hint="eastAsia"/>
          <w:color w:val="000000"/>
          <w:szCs w:val="24"/>
          <w:shd w:val="clear" w:color="auto" w:fill="FFFFFF"/>
        </w:rPr>
        <w:t>主要用來處理一種安全情況或一種相關安全設施，該設施能廣泛使用於多種機械；</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B1</w:t>
      </w:r>
      <w:r w:rsidRPr="00C8510F">
        <w:rPr>
          <w:rFonts w:ascii="新細明體" w:hAnsi="新細明體" w:cs="新細明體" w:hint="eastAsia"/>
          <w:color w:val="000000"/>
          <w:szCs w:val="24"/>
          <w:shd w:val="clear" w:color="auto" w:fill="FFFFFF"/>
        </w:rPr>
        <w:t>類標準</w:t>
      </w:r>
      <w:r w:rsidRPr="00C8510F">
        <w:rPr>
          <w:rFonts w:ascii="新細明體" w:hAnsi="新細明體" w:cs="新細明體"/>
          <w:color w:val="000000"/>
          <w:szCs w:val="24"/>
          <w:shd w:val="clear" w:color="auto" w:fill="FFFFFF"/>
        </w:rPr>
        <w:t xml:space="preserve"> </w:t>
      </w:r>
      <w:r w:rsidRPr="00C8510F">
        <w:rPr>
          <w:rFonts w:ascii="新細明體" w:hAnsi="新細明體" w:cs="新細明體" w:hint="eastAsia"/>
          <w:color w:val="000000"/>
          <w:szCs w:val="24"/>
          <w:shd w:val="clear" w:color="auto" w:fill="FFFFFF"/>
        </w:rPr>
        <w:t>針對特定安全情況（例如：安全距離、表面溫度、噪音）</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B2</w:t>
      </w:r>
      <w:r w:rsidRPr="00C8510F">
        <w:rPr>
          <w:rFonts w:ascii="新細明體" w:hAnsi="新細明體" w:cs="新細明體" w:hint="eastAsia"/>
          <w:color w:val="000000"/>
          <w:szCs w:val="24"/>
          <w:shd w:val="clear" w:color="auto" w:fill="FFFFFF"/>
        </w:rPr>
        <w:t>類標準</w:t>
      </w:r>
      <w:r w:rsidRPr="00C8510F">
        <w:rPr>
          <w:rFonts w:ascii="新細明體" w:hAnsi="新細明體" w:cs="新細明體"/>
          <w:color w:val="000000"/>
          <w:szCs w:val="24"/>
          <w:shd w:val="clear" w:color="auto" w:fill="FFFFFF"/>
        </w:rPr>
        <w:t xml:space="preserve"> </w:t>
      </w:r>
      <w:r w:rsidRPr="00C8510F">
        <w:rPr>
          <w:rFonts w:ascii="新細明體" w:hAnsi="新細明體" w:cs="新細明體" w:hint="eastAsia"/>
          <w:color w:val="000000"/>
          <w:szCs w:val="24"/>
          <w:shd w:val="clear" w:color="auto" w:fill="FFFFFF"/>
        </w:rPr>
        <w:t>針對相關安全設施（例如：雙手控制、聯鎖裝置、壓力感應裝置、防護罩）</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C</w:t>
      </w:r>
      <w:r w:rsidRPr="00C8510F">
        <w:rPr>
          <w:rFonts w:ascii="新細明體" w:hAnsi="新細明體" w:cs="新細明體" w:hint="eastAsia"/>
          <w:b/>
          <w:bCs/>
          <w:color w:val="000000"/>
          <w:szCs w:val="24"/>
          <w:shd w:val="clear" w:color="auto" w:fill="FFFFFF"/>
        </w:rPr>
        <w:t>類標準（機器安全標準）</w:t>
      </w:r>
      <w:r w:rsidRPr="00C8510F">
        <w:rPr>
          <w:rFonts w:ascii="新細明體" w:hAnsi="新細明體" w:cs="新細明體" w:hint="eastAsia"/>
          <w:color w:val="000000"/>
          <w:szCs w:val="24"/>
          <w:shd w:val="clear" w:color="auto" w:fill="FFFFFF"/>
        </w:rPr>
        <w:t>主要用於一種或一類特定機器的詳細安全要求。</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C</w:t>
      </w:r>
      <w:r w:rsidRPr="00C8510F">
        <w:rPr>
          <w:rFonts w:ascii="新細明體" w:hAnsi="新細明體" w:cs="新細明體" w:hint="eastAsia"/>
          <w:color w:val="000000"/>
          <w:szCs w:val="24"/>
          <w:shd w:val="clear" w:color="auto" w:fill="FFFFFF"/>
        </w:rPr>
        <w:t>類標準在此三類標準中許可權最高，即同一機械如果同時採用</w:t>
      </w:r>
      <w:r w:rsidRPr="00C8510F">
        <w:rPr>
          <w:rFonts w:ascii="新細明體" w:hAnsi="新細明體" w:cs="新細明體"/>
          <w:color w:val="000000"/>
          <w:szCs w:val="24"/>
          <w:shd w:val="clear" w:color="auto" w:fill="FFFFFF"/>
        </w:rPr>
        <w:t>A</w:t>
      </w:r>
      <w:r w:rsidRPr="00C8510F">
        <w:rPr>
          <w:rFonts w:ascii="新細明體" w:hAnsi="新細明體" w:cs="新細明體" w:hint="eastAsia"/>
          <w:color w:val="000000"/>
          <w:szCs w:val="24"/>
          <w:shd w:val="clear" w:color="auto" w:fill="FFFFFF"/>
        </w:rPr>
        <w:t>、</w:t>
      </w:r>
      <w:r w:rsidRPr="00C8510F">
        <w:rPr>
          <w:rFonts w:ascii="新細明體" w:hAnsi="新細明體" w:cs="新細明體"/>
          <w:color w:val="000000"/>
          <w:szCs w:val="24"/>
          <w:shd w:val="clear" w:color="auto" w:fill="FFFFFF"/>
        </w:rPr>
        <w:t>B</w:t>
      </w:r>
      <w:r w:rsidRPr="00C8510F">
        <w:rPr>
          <w:rFonts w:ascii="新細明體" w:hAnsi="新細明體" w:cs="新細明體" w:hint="eastAsia"/>
          <w:color w:val="000000"/>
          <w:szCs w:val="24"/>
          <w:shd w:val="clear" w:color="auto" w:fill="FFFFFF"/>
        </w:rPr>
        <w:t>、</w:t>
      </w:r>
      <w:r w:rsidRPr="00C8510F">
        <w:rPr>
          <w:rFonts w:ascii="新細明體" w:hAnsi="新細明體" w:cs="新細明體"/>
          <w:color w:val="000000"/>
          <w:szCs w:val="24"/>
          <w:shd w:val="clear" w:color="auto" w:fill="FFFFFF"/>
        </w:rPr>
        <w:t>C</w:t>
      </w:r>
      <w:r w:rsidRPr="00C8510F">
        <w:rPr>
          <w:rFonts w:ascii="新細明體" w:hAnsi="新細明體" w:cs="新細明體" w:hint="eastAsia"/>
          <w:color w:val="000000"/>
          <w:szCs w:val="24"/>
          <w:shd w:val="clear" w:color="auto" w:fill="FFFFFF"/>
        </w:rPr>
        <w:t>三類標準，</w:t>
      </w:r>
      <w:r w:rsidRPr="00C8510F">
        <w:rPr>
          <w:rFonts w:ascii="新細明體" w:hAnsi="新細明體" w:cs="新細明體"/>
          <w:color w:val="000000"/>
          <w:szCs w:val="24"/>
          <w:shd w:val="clear" w:color="auto" w:fill="FFFFFF"/>
        </w:rPr>
        <w:t>C</w:t>
      </w:r>
      <w:r w:rsidRPr="00C8510F">
        <w:rPr>
          <w:rFonts w:ascii="新細明體" w:hAnsi="新細明體" w:cs="新細明體" w:hint="eastAsia"/>
          <w:color w:val="000000"/>
          <w:szCs w:val="24"/>
          <w:shd w:val="clear" w:color="auto" w:fill="FFFFFF"/>
        </w:rPr>
        <w:t>類標準的要求擁有最高優先權。</w:t>
      </w:r>
      <w:r w:rsidRPr="00C8510F">
        <w:rPr>
          <w:rFonts w:ascii="新細明體" w:hAnsi="新細明體" w:cs="新細明體"/>
          <w:color w:val="000000"/>
          <w:szCs w:val="24"/>
          <w:shd w:val="clear" w:color="auto" w:fill="FFFFFF"/>
        </w:rPr>
        <w:t>C</w:t>
      </w:r>
      <w:r w:rsidRPr="00C8510F">
        <w:rPr>
          <w:rFonts w:ascii="新細明體" w:hAnsi="新細明體" w:cs="新細明體" w:hint="eastAsia"/>
          <w:color w:val="000000"/>
          <w:szCs w:val="24"/>
          <w:shd w:val="clear" w:color="auto" w:fill="FFFFFF"/>
        </w:rPr>
        <w:t>類標準通常也叫做產品標準，例如：</w:t>
      </w:r>
      <w:r w:rsidRPr="00C8510F">
        <w:rPr>
          <w:rFonts w:ascii="新細明體" w:hAnsi="新細明體" w:cs="新細明體"/>
          <w:color w:val="000000"/>
          <w:szCs w:val="24"/>
          <w:shd w:val="clear" w:color="auto" w:fill="FFFFFF"/>
        </w:rPr>
        <w:t xml:space="preserve">EN 201 - </w:t>
      </w:r>
      <w:r w:rsidRPr="00C8510F">
        <w:rPr>
          <w:rFonts w:ascii="新細明體" w:hAnsi="新細明體" w:cs="新細明體" w:hint="eastAsia"/>
          <w:color w:val="000000"/>
          <w:szCs w:val="24"/>
          <w:shd w:val="clear" w:color="auto" w:fill="FFFFFF"/>
        </w:rPr>
        <w:t>注塑機的安全要求，該標準針對注塑機類產品可能出現的所有風險都給出了詳細具體的要求，基本上包含或引用了該類產品涉及到的</w:t>
      </w:r>
      <w:r w:rsidRPr="00C8510F">
        <w:rPr>
          <w:rFonts w:ascii="新細明體" w:hAnsi="新細明體" w:cs="新細明體"/>
          <w:color w:val="000000"/>
          <w:szCs w:val="24"/>
          <w:shd w:val="clear" w:color="auto" w:fill="FFFFFF"/>
        </w:rPr>
        <w:t>A</w:t>
      </w:r>
      <w:r w:rsidRPr="00C8510F">
        <w:rPr>
          <w:rFonts w:ascii="新細明體" w:hAnsi="新細明體" w:cs="新細明體" w:hint="eastAsia"/>
          <w:color w:val="000000"/>
          <w:szCs w:val="24"/>
          <w:shd w:val="clear" w:color="auto" w:fill="FFFFFF"/>
        </w:rPr>
        <w:t>類和</w:t>
      </w:r>
      <w:r w:rsidRPr="00C8510F">
        <w:rPr>
          <w:rFonts w:ascii="新細明體" w:hAnsi="新細明體" w:cs="新細明體"/>
          <w:color w:val="000000"/>
          <w:szCs w:val="24"/>
          <w:shd w:val="clear" w:color="auto" w:fill="FFFFFF"/>
        </w:rPr>
        <w:t>B</w:t>
      </w:r>
      <w:r w:rsidRPr="00C8510F">
        <w:rPr>
          <w:rFonts w:ascii="新細明體" w:hAnsi="新細明體" w:cs="新細明體" w:hint="eastAsia"/>
          <w:color w:val="000000"/>
          <w:szCs w:val="24"/>
          <w:shd w:val="clear" w:color="auto" w:fill="FFFFFF"/>
        </w:rPr>
        <w:t>類標準的要求。</w:t>
      </w:r>
      <w:r w:rsidRPr="00C8510F">
        <w:rPr>
          <w:rFonts w:ascii="新細明體" w:hAnsi="新細明體" w:cs="新細明體"/>
          <w:color w:val="000000"/>
          <w:szCs w:val="24"/>
        </w:rPr>
        <w:t> </w:t>
      </w:r>
    </w:p>
    <w:p w:rsidR="00E02ED0" w:rsidRDefault="00E02ED0" w:rsidP="00E02ED0">
      <w:pPr>
        <w:rPr>
          <w:rFonts w:ascii="新細明體" w:hAnsi="新細明體" w:cs="新細明體" w:hint="eastAsia"/>
          <w:color w:val="000000"/>
          <w:szCs w:val="24"/>
        </w:rPr>
      </w:pP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機械產品最常用的</w:t>
      </w:r>
      <w:r w:rsidRPr="00C8510F">
        <w:rPr>
          <w:rFonts w:ascii="新細明體" w:hAnsi="新細明體" w:cs="新細明體"/>
          <w:color w:val="000000"/>
          <w:szCs w:val="24"/>
          <w:shd w:val="clear" w:color="auto" w:fill="FFFFFF"/>
        </w:rPr>
        <w:t>A</w:t>
      </w:r>
      <w:r w:rsidRPr="00C8510F">
        <w:rPr>
          <w:rFonts w:ascii="新細明體" w:hAnsi="新細明體" w:cs="新細明體" w:hint="eastAsia"/>
          <w:color w:val="000000"/>
          <w:szCs w:val="24"/>
          <w:shd w:val="clear" w:color="auto" w:fill="FFFFFF"/>
        </w:rPr>
        <w:t>、</w:t>
      </w:r>
      <w:r w:rsidRPr="00C8510F">
        <w:rPr>
          <w:rFonts w:ascii="新細明體" w:hAnsi="新細明體" w:cs="新細明體"/>
          <w:color w:val="000000"/>
          <w:szCs w:val="24"/>
          <w:shd w:val="clear" w:color="auto" w:fill="FFFFFF"/>
        </w:rPr>
        <w:t>B</w:t>
      </w:r>
      <w:r w:rsidRPr="00C8510F">
        <w:rPr>
          <w:rFonts w:ascii="新細明體" w:hAnsi="新細明體" w:cs="新細明體" w:hint="eastAsia"/>
          <w:color w:val="000000"/>
          <w:szCs w:val="24"/>
          <w:shd w:val="clear" w:color="auto" w:fill="FFFFFF"/>
        </w:rPr>
        <w:t>、</w:t>
      </w:r>
      <w:r w:rsidRPr="00C8510F">
        <w:rPr>
          <w:rFonts w:ascii="新細明體" w:hAnsi="新細明體" w:cs="新細明體"/>
          <w:color w:val="000000"/>
          <w:szCs w:val="24"/>
          <w:shd w:val="clear" w:color="auto" w:fill="FFFFFF"/>
        </w:rPr>
        <w:t>C</w:t>
      </w:r>
      <w:r w:rsidRPr="00C8510F">
        <w:rPr>
          <w:rFonts w:ascii="新細明體" w:hAnsi="新細明體" w:cs="新細明體" w:hint="eastAsia"/>
          <w:color w:val="000000"/>
          <w:szCs w:val="24"/>
          <w:shd w:val="clear" w:color="auto" w:fill="FFFFFF"/>
        </w:rPr>
        <w:t>類標準有：</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A</w:t>
      </w:r>
      <w:r w:rsidRPr="00C8510F">
        <w:rPr>
          <w:rFonts w:ascii="新細明體" w:hAnsi="新細明體" w:cs="新細明體" w:hint="eastAsia"/>
          <w:b/>
          <w:bCs/>
          <w:color w:val="000000"/>
          <w:szCs w:val="24"/>
          <w:shd w:val="clear" w:color="auto" w:fill="FFFFFF"/>
        </w:rPr>
        <w:t>類標準：</w:t>
      </w:r>
      <w:r w:rsidRPr="00C8510F">
        <w:rPr>
          <w:rFonts w:ascii="新細明體" w:hAnsi="新細明體" w:cs="新細明體"/>
          <w:color w:val="000000"/>
          <w:szCs w:val="24"/>
          <w:shd w:val="clear" w:color="auto" w:fill="FFFFFF"/>
        </w:rPr>
        <w:t>EN ISO 12100</w:t>
      </w:r>
      <w:r w:rsidRPr="00C8510F">
        <w:rPr>
          <w:rFonts w:ascii="新細明體" w:hAnsi="新細明體" w:cs="新細明體" w:hint="eastAsia"/>
          <w:color w:val="000000"/>
          <w:szCs w:val="24"/>
          <w:shd w:val="clear" w:color="auto" w:fill="FFFFFF"/>
        </w:rPr>
        <w:t>：機械安全基本設計原則</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風險評估及降低風險；。</w:t>
      </w:r>
      <w:r w:rsidRPr="00C8510F">
        <w:rPr>
          <w:rFonts w:ascii="新細明體" w:hAnsi="新細明體" w:cs="新細明體"/>
          <w:color w:val="000000"/>
          <w:szCs w:val="24"/>
        </w:rPr>
        <w:t> </w:t>
      </w:r>
    </w:p>
    <w:p w:rsidR="00E02ED0" w:rsidRDefault="00E02ED0" w:rsidP="00E02ED0">
      <w:pPr>
        <w:rPr>
          <w:rFonts w:ascii="新細明體" w:hAnsi="新細明體" w:cs="新細明體" w:hint="eastAsia"/>
          <w:color w:val="000000"/>
          <w:szCs w:val="24"/>
        </w:rPr>
      </w:pP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B</w:t>
      </w:r>
      <w:r w:rsidRPr="00C8510F">
        <w:rPr>
          <w:rFonts w:ascii="新細明體" w:hAnsi="新細明體" w:cs="新細明體" w:hint="eastAsia"/>
          <w:b/>
          <w:bCs/>
          <w:color w:val="000000"/>
          <w:szCs w:val="24"/>
          <w:shd w:val="clear" w:color="auto" w:fill="FFFFFF"/>
        </w:rPr>
        <w:t>類標準：</w:t>
      </w:r>
      <w:r w:rsidRPr="00C8510F">
        <w:rPr>
          <w:rFonts w:ascii="新細明體" w:hAnsi="新細明體" w:cs="新細明體"/>
          <w:color w:val="000000"/>
          <w:szCs w:val="24"/>
          <w:shd w:val="clear" w:color="auto" w:fill="FFFFFF"/>
        </w:rPr>
        <w:t>EN ISO 13857</w:t>
      </w:r>
      <w:r w:rsidRPr="00C8510F">
        <w:rPr>
          <w:rFonts w:ascii="新細明體" w:hAnsi="新細明體" w:cs="新細明體" w:hint="eastAsia"/>
          <w:color w:val="000000"/>
          <w:szCs w:val="24"/>
          <w:shd w:val="clear" w:color="auto" w:fill="FFFFFF"/>
        </w:rPr>
        <w:t>：機械的安全</w:t>
      </w:r>
      <w:r w:rsidRPr="00C8510F">
        <w:rPr>
          <w:rFonts w:ascii="新細明體" w:hAnsi="新細明體" w:cs="新細明體"/>
          <w:color w:val="000000"/>
          <w:szCs w:val="24"/>
          <w:shd w:val="clear" w:color="auto" w:fill="FFFFFF"/>
        </w:rPr>
        <w:t>-</w:t>
      </w:r>
      <w:r w:rsidRPr="00C8510F">
        <w:rPr>
          <w:rFonts w:ascii="新細明體" w:hAnsi="新細明體" w:cs="新細明體" w:hint="eastAsia"/>
          <w:color w:val="000000"/>
          <w:szCs w:val="24"/>
          <w:shd w:val="clear" w:color="auto" w:fill="FFFFFF"/>
        </w:rPr>
        <w:t>防止上肢及下肢伸及危險區域之安全距離；</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ISO 4413</w:t>
      </w:r>
      <w:r w:rsidRPr="00C8510F">
        <w:rPr>
          <w:rFonts w:ascii="新細明體" w:hAnsi="新細明體" w:cs="新細明體" w:hint="eastAsia"/>
          <w:color w:val="000000"/>
          <w:szCs w:val="24"/>
          <w:shd w:val="clear" w:color="auto" w:fill="FFFFFF"/>
        </w:rPr>
        <w:t>：液壓系統</w:t>
      </w:r>
      <w:r w:rsidRPr="00C8510F">
        <w:rPr>
          <w:rFonts w:ascii="新細明體" w:hAnsi="新細明體" w:cs="新細明體"/>
          <w:color w:val="000000"/>
          <w:szCs w:val="24"/>
          <w:shd w:val="clear" w:color="auto" w:fill="FFFFFF"/>
        </w:rPr>
        <w:t>-</w:t>
      </w:r>
      <w:r w:rsidRPr="00C8510F">
        <w:rPr>
          <w:rFonts w:ascii="新細明體" w:hAnsi="新細明體" w:cs="新細明體" w:hint="eastAsia"/>
          <w:color w:val="000000"/>
          <w:szCs w:val="24"/>
          <w:shd w:val="clear" w:color="auto" w:fill="FFFFFF"/>
        </w:rPr>
        <w:t>液壓系統及液壓元件的一般要求及安全規範；</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ISO 4414</w:t>
      </w:r>
      <w:r w:rsidRPr="00C8510F">
        <w:rPr>
          <w:rFonts w:ascii="新細明體" w:hAnsi="新細明體" w:cs="新細明體" w:hint="eastAsia"/>
          <w:color w:val="000000"/>
          <w:szCs w:val="24"/>
          <w:shd w:val="clear" w:color="auto" w:fill="FFFFFF"/>
        </w:rPr>
        <w:t>：氣動系統</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液壓系統及液壓元件的一般要求及安全規範；</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1088</w:t>
      </w:r>
      <w:r w:rsidRPr="00C8510F">
        <w:rPr>
          <w:rFonts w:ascii="新細明體" w:hAnsi="新細明體" w:cs="新細明體" w:hint="eastAsia"/>
          <w:color w:val="000000"/>
          <w:szCs w:val="24"/>
          <w:shd w:val="clear" w:color="auto" w:fill="FFFFFF"/>
        </w:rPr>
        <w:t>：機械安全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裝配在防護罩上的互鎖裝置</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設計的一般原理及選擇方法；</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953</w:t>
      </w:r>
      <w:r w:rsidRPr="00C8510F">
        <w:rPr>
          <w:rFonts w:ascii="新細明體" w:hAnsi="新細明體" w:cs="新細明體" w:hint="eastAsia"/>
          <w:color w:val="000000"/>
          <w:szCs w:val="24"/>
          <w:shd w:val="clear" w:color="auto" w:fill="FFFFFF"/>
        </w:rPr>
        <w:t>：機械安全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固定式及移動式防護罩的設計及構造的通用要求；</w:t>
      </w:r>
      <w:r w:rsidRPr="00C8510F">
        <w:rPr>
          <w:rFonts w:ascii="新細明體" w:hAnsi="新細明體" w:cs="新細明體"/>
          <w:color w:val="000000"/>
          <w:szCs w:val="24"/>
        </w:rPr>
        <w:t> </w:t>
      </w: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60204-1</w:t>
      </w:r>
      <w:r w:rsidRPr="00C8510F">
        <w:rPr>
          <w:rFonts w:ascii="新細明體" w:hAnsi="新細明體" w:cs="新細明體" w:hint="eastAsia"/>
          <w:color w:val="000000"/>
          <w:szCs w:val="24"/>
          <w:shd w:val="clear" w:color="auto" w:fill="FFFFFF"/>
        </w:rPr>
        <w:t>：機械安全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機械電氣設備</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第</w:t>
      </w:r>
      <w:r w:rsidRPr="00C8510F">
        <w:rPr>
          <w:rFonts w:ascii="新細明體" w:hAnsi="新細明體" w:cs="新細明體"/>
          <w:color w:val="000000"/>
          <w:szCs w:val="24"/>
          <w:shd w:val="clear" w:color="auto" w:fill="FFFFFF"/>
        </w:rPr>
        <w:t>1</w:t>
      </w:r>
      <w:r w:rsidRPr="00C8510F">
        <w:rPr>
          <w:rFonts w:ascii="新細明體" w:hAnsi="新細明體" w:cs="新細明體" w:hint="eastAsia"/>
          <w:color w:val="000000"/>
          <w:szCs w:val="24"/>
          <w:shd w:val="clear" w:color="auto" w:fill="FFFFFF"/>
        </w:rPr>
        <w:t>部分：通用要求。</w:t>
      </w:r>
      <w:r w:rsidRPr="00C8510F">
        <w:rPr>
          <w:rFonts w:ascii="新細明體" w:hAnsi="新細明體" w:cs="新細明體"/>
          <w:color w:val="000000"/>
          <w:szCs w:val="24"/>
        </w:rPr>
        <w:t> </w:t>
      </w:r>
    </w:p>
    <w:p w:rsidR="00E02ED0" w:rsidRPr="00C8510F" w:rsidRDefault="00E02ED0" w:rsidP="00E02ED0">
      <w:pPr>
        <w:rPr>
          <w:rFonts w:ascii="新細明體" w:hAnsi="新細明體" w:hint="eastAsia"/>
          <w:szCs w:val="24"/>
          <w:lang w:eastAsia="zh-CN"/>
        </w:rPr>
      </w:pPr>
      <w:r w:rsidRPr="00C8510F">
        <w:rPr>
          <w:rFonts w:ascii="新細明體" w:hAnsi="新細明體" w:cs="新細明體" w:hint="eastAsia"/>
          <w:color w:val="000000"/>
          <w:szCs w:val="24"/>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rPr>
        <w:t> </w:t>
      </w:r>
      <w:r w:rsidRPr="00C8510F">
        <w:rPr>
          <w:rFonts w:ascii="新細明體" w:hAnsi="新細明體" w:cs="新細明體"/>
          <w:b/>
          <w:bCs/>
          <w:color w:val="000000"/>
          <w:szCs w:val="24"/>
          <w:shd w:val="clear" w:color="auto" w:fill="FFFFFF"/>
        </w:rPr>
        <w:t>C</w:t>
      </w:r>
      <w:r w:rsidRPr="00C8510F">
        <w:rPr>
          <w:rFonts w:ascii="新細明體" w:hAnsi="新細明體" w:cs="新細明體" w:hint="eastAsia"/>
          <w:b/>
          <w:bCs/>
          <w:color w:val="000000"/>
          <w:szCs w:val="24"/>
          <w:shd w:val="clear" w:color="auto" w:fill="FFFFFF"/>
        </w:rPr>
        <w:t>類標準</w:t>
      </w:r>
      <w:r w:rsidRPr="00C8510F">
        <w:rPr>
          <w:rFonts w:ascii="新細明體" w:hAnsi="新細明體" w:cs="新細明體"/>
          <w:b/>
          <w:bCs/>
          <w:color w:val="000000"/>
          <w:szCs w:val="24"/>
          <w:shd w:val="clear" w:color="auto" w:fill="FFFFFF"/>
        </w:rPr>
        <w:t>:</w:t>
      </w:r>
      <w:r w:rsidRPr="00C8510F">
        <w:rPr>
          <w:rFonts w:ascii="新細明體" w:hAnsi="新細明體" w:cs="新細明體"/>
          <w:color w:val="000000"/>
          <w:szCs w:val="24"/>
          <w:shd w:val="clear" w:color="auto" w:fill="FFFFFF"/>
        </w:rPr>
        <w:t>EN 201</w:t>
      </w:r>
      <w:r w:rsidRPr="00C8510F">
        <w:rPr>
          <w:rFonts w:ascii="新細明體" w:hAnsi="新細明體" w:cs="新細明體" w:hint="eastAsia"/>
          <w:color w:val="000000"/>
          <w:szCs w:val="24"/>
          <w:shd w:val="clear" w:color="auto" w:fill="FFFFFF"/>
        </w:rPr>
        <w:t>：塑膠橡膠機械</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注塑機的安全要求；</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415-1</w:t>
      </w:r>
      <w:r w:rsidRPr="00C8510F">
        <w:rPr>
          <w:rFonts w:ascii="新細明體" w:hAnsi="新細明體" w:cs="新細明體" w:hint="eastAsia"/>
          <w:color w:val="000000"/>
          <w:szCs w:val="24"/>
          <w:shd w:val="clear" w:color="auto" w:fill="FFFFFF"/>
        </w:rPr>
        <w:t>：包裝機械的安全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第</w:t>
      </w:r>
      <w:r w:rsidRPr="00C8510F">
        <w:rPr>
          <w:rFonts w:ascii="新細明體" w:hAnsi="新細明體" w:cs="新細明體"/>
          <w:color w:val="000000"/>
          <w:szCs w:val="24"/>
          <w:shd w:val="clear" w:color="auto" w:fill="FFFFFF"/>
        </w:rPr>
        <w:t>1</w:t>
      </w:r>
      <w:r w:rsidRPr="00C8510F">
        <w:rPr>
          <w:rFonts w:ascii="新細明體" w:hAnsi="新細明體" w:cs="新細明體" w:hint="eastAsia"/>
          <w:color w:val="000000"/>
          <w:szCs w:val="24"/>
          <w:shd w:val="clear" w:color="auto" w:fill="FFFFFF"/>
        </w:rPr>
        <w:t>部分：包裝機械和相關設備的術語和分類；</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415-5</w:t>
      </w:r>
      <w:r w:rsidRPr="00C8510F">
        <w:rPr>
          <w:rFonts w:ascii="新細明體" w:hAnsi="新細明體" w:cs="新細明體" w:hint="eastAsia"/>
          <w:color w:val="000000"/>
          <w:szCs w:val="24"/>
          <w:shd w:val="clear" w:color="auto" w:fill="FFFFFF"/>
        </w:rPr>
        <w:t>：包裝機械的安全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第</w:t>
      </w:r>
      <w:r w:rsidRPr="00C8510F">
        <w:rPr>
          <w:rFonts w:ascii="新細明體" w:hAnsi="新細明體" w:cs="新細明體"/>
          <w:color w:val="000000"/>
          <w:szCs w:val="24"/>
          <w:shd w:val="clear" w:color="auto" w:fill="FFFFFF"/>
        </w:rPr>
        <w:t>5</w:t>
      </w:r>
      <w:r w:rsidRPr="00C8510F">
        <w:rPr>
          <w:rFonts w:ascii="新細明體" w:hAnsi="新細明體" w:cs="新細明體" w:hint="eastAsia"/>
          <w:color w:val="000000"/>
          <w:szCs w:val="24"/>
          <w:shd w:val="clear" w:color="auto" w:fill="FFFFFF"/>
        </w:rPr>
        <w:t>部分：打包機；</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474-1</w:t>
      </w:r>
      <w:r w:rsidRPr="00C8510F">
        <w:rPr>
          <w:rFonts w:ascii="新細明體" w:hAnsi="新細明體" w:cs="新細明體" w:hint="eastAsia"/>
          <w:color w:val="000000"/>
          <w:szCs w:val="24"/>
          <w:shd w:val="clear" w:color="auto" w:fill="FFFFFF"/>
        </w:rPr>
        <w:t>：土方機械</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基本安全要求；</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lastRenderedPageBreak/>
        <w:t xml:space="preserve">　　</w:t>
      </w:r>
      <w:r w:rsidRPr="00C8510F">
        <w:rPr>
          <w:rFonts w:ascii="新細明體" w:hAnsi="新細明體" w:cs="新細明體"/>
          <w:color w:val="000000"/>
          <w:szCs w:val="24"/>
          <w:shd w:val="clear" w:color="auto" w:fill="FFFFFF"/>
        </w:rPr>
        <w:t>EN 692</w:t>
      </w:r>
      <w:r w:rsidRPr="00C8510F">
        <w:rPr>
          <w:rFonts w:ascii="新細明體" w:hAnsi="新細明體" w:cs="新細明體" w:hint="eastAsia"/>
          <w:color w:val="000000"/>
          <w:szCs w:val="24"/>
          <w:shd w:val="clear" w:color="auto" w:fill="FFFFFF"/>
        </w:rPr>
        <w:t>：機床</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機械式衝床的安全；</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693</w:t>
      </w:r>
      <w:r w:rsidRPr="00C8510F">
        <w:rPr>
          <w:rFonts w:ascii="新細明體" w:hAnsi="新細明體" w:cs="新細明體" w:hint="eastAsia"/>
          <w:color w:val="000000"/>
          <w:szCs w:val="24"/>
          <w:shd w:val="clear" w:color="auto" w:fill="FFFFFF"/>
        </w:rPr>
        <w:t>：機床</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液壓衝床的安全；</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860</w:t>
      </w:r>
      <w:r w:rsidRPr="00C8510F">
        <w:rPr>
          <w:rFonts w:ascii="新細明體" w:hAnsi="新細明體" w:cs="新細明體" w:hint="eastAsia"/>
          <w:color w:val="000000"/>
          <w:szCs w:val="24"/>
          <w:shd w:val="clear" w:color="auto" w:fill="FFFFFF"/>
        </w:rPr>
        <w:t>：木工機械</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單面刨；</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869</w:t>
      </w:r>
      <w:r w:rsidRPr="00C8510F">
        <w:rPr>
          <w:rFonts w:ascii="新細明體" w:hAnsi="新細明體" w:cs="新細明體" w:hint="eastAsia"/>
          <w:color w:val="000000"/>
          <w:szCs w:val="24"/>
          <w:shd w:val="clear" w:color="auto" w:fill="FFFFFF"/>
        </w:rPr>
        <w:t>：機械安全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金屬壓鑄機；</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1493</w:t>
      </w:r>
      <w:r w:rsidRPr="00C8510F">
        <w:rPr>
          <w:rFonts w:ascii="新細明體" w:hAnsi="新細明體" w:cs="新細明體" w:hint="eastAsia"/>
          <w:color w:val="000000"/>
          <w:szCs w:val="24"/>
          <w:shd w:val="clear" w:color="auto" w:fill="FFFFFF"/>
        </w:rPr>
        <w:t>：汽車舉升機；</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12417</w:t>
      </w:r>
      <w:r w:rsidRPr="00C8510F">
        <w:rPr>
          <w:rFonts w:ascii="新細明體" w:hAnsi="新細明體" w:cs="新細明體" w:hint="eastAsia"/>
          <w:color w:val="000000"/>
          <w:szCs w:val="24"/>
          <w:shd w:val="clear" w:color="auto" w:fill="FFFFFF"/>
        </w:rPr>
        <w:t>：機床</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加工中心的安全要求；</w:t>
      </w:r>
      <w:r w:rsidRPr="00C8510F">
        <w:rPr>
          <w:rFonts w:ascii="新細明體" w:hAnsi="新細明體" w:cs="新細明體"/>
          <w:color w:val="000000"/>
          <w:szCs w:val="24"/>
        </w:rPr>
        <w:t> </w:t>
      </w:r>
      <w:r w:rsidRPr="00C8510F">
        <w:rPr>
          <w:rFonts w:ascii="新細明體" w:hAnsi="新細明體" w:cs="新細明體" w:hint="eastAsia"/>
          <w:color w:val="000000"/>
          <w:szCs w:val="24"/>
          <w:lang w:eastAsia="zh-CN"/>
        </w:rPr>
        <w:br/>
      </w:r>
      <w:r w:rsidRPr="00C8510F">
        <w:rPr>
          <w:rFonts w:ascii="新細明體" w:hAnsi="新細明體" w:cs="新細明體" w:hint="eastAsia"/>
          <w:color w:val="000000"/>
          <w:szCs w:val="24"/>
          <w:shd w:val="clear" w:color="auto" w:fill="FFFFFF"/>
        </w:rPr>
        <w:t xml:space="preserve">　　</w:t>
      </w:r>
      <w:r w:rsidRPr="00C8510F">
        <w:rPr>
          <w:rFonts w:ascii="新細明體" w:hAnsi="新細明體" w:cs="新細明體"/>
          <w:color w:val="000000"/>
          <w:szCs w:val="24"/>
          <w:shd w:val="clear" w:color="auto" w:fill="FFFFFF"/>
        </w:rPr>
        <w:t>EN 12717</w:t>
      </w:r>
      <w:r w:rsidRPr="00C8510F">
        <w:rPr>
          <w:rFonts w:ascii="新細明體" w:hAnsi="新細明體" w:cs="新細明體" w:hint="eastAsia"/>
          <w:color w:val="000000"/>
          <w:szCs w:val="24"/>
          <w:shd w:val="clear" w:color="auto" w:fill="FFFFFF"/>
        </w:rPr>
        <w:t>：機床安全</w:t>
      </w:r>
      <w:r w:rsidRPr="00C8510F">
        <w:rPr>
          <w:rFonts w:ascii="新細明體" w:hAnsi="新細明體" w:cs="新細明體"/>
          <w:color w:val="000000"/>
          <w:szCs w:val="24"/>
          <w:shd w:val="clear" w:color="auto" w:fill="FFFFFF"/>
        </w:rPr>
        <w:t xml:space="preserve"> - </w:t>
      </w:r>
      <w:r w:rsidRPr="00C8510F">
        <w:rPr>
          <w:rFonts w:ascii="新細明體" w:hAnsi="新細明體" w:cs="新細明體" w:hint="eastAsia"/>
          <w:color w:val="000000"/>
          <w:szCs w:val="24"/>
          <w:shd w:val="clear" w:color="auto" w:fill="FFFFFF"/>
        </w:rPr>
        <w:t>鑽床；</w:t>
      </w:r>
    </w:p>
    <w:p w:rsidR="00E02ED0" w:rsidRDefault="00E02ED0" w:rsidP="00E02ED0">
      <w:pPr>
        <w:rPr>
          <w:rFonts w:ascii="新細明體" w:hAnsi="新細明體" w:cs="新細明體" w:hint="eastAsia"/>
          <w:color w:val="000000"/>
          <w:szCs w:val="24"/>
          <w:shd w:val="clear" w:color="auto" w:fill="FFFFFF"/>
        </w:rPr>
      </w:pPr>
    </w:p>
    <w:p w:rsidR="00E02ED0" w:rsidRDefault="00E02ED0" w:rsidP="00E02ED0">
      <w:pPr>
        <w:rPr>
          <w:rFonts w:ascii="新細明體" w:hAnsi="新細明體" w:cs="新細明體" w:hint="eastAsia"/>
          <w:color w:val="000000"/>
          <w:szCs w:val="24"/>
          <w:shd w:val="clear" w:color="auto" w:fill="FFFFFF"/>
        </w:rPr>
      </w:pPr>
    </w:p>
    <w:p w:rsidR="00E02ED0" w:rsidRPr="00F252B0" w:rsidRDefault="00E02ED0" w:rsidP="00E02ED0">
      <w:pPr>
        <w:shd w:val="clear" w:color="auto" w:fill="FFFFFF"/>
        <w:spacing w:line="144" w:lineRule="atLeast"/>
        <w:jc w:val="center"/>
        <w:rPr>
          <w:rFonts w:ascii="Arial" w:hAnsi="Arial" w:cs="Arial"/>
          <w:color w:val="222222"/>
          <w:sz w:val="14"/>
          <w:szCs w:val="14"/>
        </w:rPr>
      </w:pPr>
      <w:r w:rsidRPr="00F252B0">
        <w:rPr>
          <w:rFonts w:ascii="Arial" w:hAnsi="Arial" w:cs="Arial"/>
          <w:color w:val="222222"/>
          <w:sz w:val="38"/>
          <w:szCs w:val="38"/>
        </w:rPr>
        <w:t>坤展國際安全驗證有限公司</w:t>
      </w:r>
    </w:p>
    <w:p w:rsidR="00E02ED0" w:rsidRPr="0078028E" w:rsidRDefault="00E02ED0" w:rsidP="00E02ED0">
      <w:pPr>
        <w:shd w:val="clear" w:color="auto" w:fill="FFFFFF"/>
        <w:spacing w:line="144" w:lineRule="atLeast"/>
        <w:jc w:val="center"/>
        <w:rPr>
          <w:rFonts w:ascii="Arial" w:hAnsi="Arial" w:cs="Arial"/>
          <w:color w:val="222222"/>
          <w:sz w:val="32"/>
          <w:szCs w:val="14"/>
        </w:rPr>
      </w:pPr>
      <w:r w:rsidRPr="0078028E">
        <w:rPr>
          <w:rFonts w:ascii="Arial" w:hAnsi="Arial" w:cs="Arial"/>
          <w:color w:val="222222"/>
          <w:sz w:val="32"/>
          <w:szCs w:val="14"/>
        </w:rPr>
        <w:t>CE</w:t>
      </w:r>
      <w:r w:rsidRPr="0078028E">
        <w:rPr>
          <w:rFonts w:ascii="Arial" w:hAnsi="Arial" w:cs="Arial"/>
          <w:color w:val="222222"/>
          <w:sz w:val="32"/>
          <w:szCs w:val="14"/>
        </w:rPr>
        <w:t>認證</w:t>
      </w:r>
      <w:r w:rsidRPr="0078028E">
        <w:rPr>
          <w:rFonts w:ascii="Arial" w:hAnsi="Arial" w:cs="Arial"/>
          <w:color w:val="222222"/>
          <w:sz w:val="32"/>
          <w:szCs w:val="14"/>
        </w:rPr>
        <w:t xml:space="preserve"> &amp; ISO</w:t>
      </w:r>
      <w:r w:rsidRPr="0078028E">
        <w:rPr>
          <w:rFonts w:ascii="Arial" w:hAnsi="Arial" w:cs="Arial"/>
          <w:color w:val="222222"/>
          <w:sz w:val="32"/>
          <w:szCs w:val="14"/>
        </w:rPr>
        <w:t>驗證</w:t>
      </w:r>
    </w:p>
    <w:p w:rsidR="00E02ED0" w:rsidRPr="00F252B0" w:rsidRDefault="00E02ED0" w:rsidP="00E02ED0">
      <w:pPr>
        <w:shd w:val="clear" w:color="auto" w:fill="FFFFFF"/>
        <w:jc w:val="center"/>
        <w:rPr>
          <w:rFonts w:ascii="Arial" w:hAnsi="Arial" w:cs="Arial"/>
          <w:color w:val="222222"/>
          <w:sz w:val="56"/>
          <w:szCs w:val="56"/>
        </w:rPr>
      </w:pPr>
      <w:hyperlink r:id="rId8" w:history="1">
        <w:r w:rsidRPr="00F252B0">
          <w:rPr>
            <w:rFonts w:ascii="Arial" w:hAnsi="Arial" w:cs="Arial"/>
            <w:color w:val="7C93A1"/>
            <w:sz w:val="56"/>
          </w:rPr>
          <w:t>http://www.kjisc.com/</w:t>
        </w:r>
      </w:hyperlink>
    </w:p>
    <w:p w:rsidR="00E02ED0" w:rsidRPr="001F7255" w:rsidRDefault="00E02ED0" w:rsidP="00E02ED0">
      <w:pPr>
        <w:rPr>
          <w:rFonts w:ascii="新細明體" w:hAnsi="新細明體"/>
          <w:szCs w:val="24"/>
        </w:rPr>
      </w:pPr>
    </w:p>
    <w:p w:rsidR="002F34E4" w:rsidRPr="00B8250C" w:rsidRDefault="002F34E4" w:rsidP="00B8250C">
      <w:pPr>
        <w:rPr>
          <w:szCs w:val="24"/>
        </w:rPr>
      </w:pPr>
    </w:p>
    <w:sectPr w:rsidR="002F34E4" w:rsidRPr="00B8250C" w:rsidSect="000B67AA">
      <w:headerReference w:type="default" r:id="rId9"/>
      <w:footerReference w:type="default" r:id="rId10"/>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5A" w:rsidRDefault="005D035A" w:rsidP="00730B0A">
      <w:pPr>
        <w:spacing w:after="0" w:line="240" w:lineRule="auto"/>
      </w:pPr>
      <w:r>
        <w:separator/>
      </w:r>
    </w:p>
  </w:endnote>
  <w:endnote w:type="continuationSeparator" w:id="1">
    <w:p w:rsidR="005D035A" w:rsidRDefault="005D035A"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CC2487">
      <w:rPr>
        <w:lang w:eastAsia="zh-TW"/>
      </w:rPr>
      <w:fldChar w:fldCharType="begin"/>
    </w:r>
    <w:r>
      <w:rPr>
        <w:lang w:eastAsia="zh-TW"/>
      </w:rPr>
      <w:instrText xml:space="preserve"> PAGE   \* MERGEFORMAT </w:instrText>
    </w:r>
    <w:r w:rsidR="00CC2487">
      <w:rPr>
        <w:lang w:eastAsia="zh-TW"/>
      </w:rPr>
      <w:fldChar w:fldCharType="separate"/>
    </w:r>
    <w:r w:rsidR="00E02ED0" w:rsidRPr="00E02ED0">
      <w:rPr>
        <w:rFonts w:asciiTheme="majorHAnsi" w:hAnsiTheme="majorHAnsi" w:cstheme="majorHAnsi"/>
        <w:noProof/>
        <w:lang w:val="zh-TW" w:eastAsia="zh-TW"/>
      </w:rPr>
      <w:t>1</w:t>
    </w:r>
    <w:r w:rsidR="00CC2487">
      <w:rPr>
        <w:lang w:eastAsia="zh-TW"/>
      </w:rPr>
      <w:fldChar w:fldCharType="end"/>
    </w:r>
    <w:r w:rsidR="00CC2487">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CC2487">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CC2487">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5A" w:rsidRDefault="005D035A" w:rsidP="00730B0A">
      <w:pPr>
        <w:spacing w:after="0" w:line="240" w:lineRule="auto"/>
      </w:pPr>
      <w:r>
        <w:separator/>
      </w:r>
    </w:p>
  </w:footnote>
  <w:footnote w:type="continuationSeparator" w:id="1">
    <w:p w:rsidR="005D035A" w:rsidRDefault="005D035A"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CC2487" w:rsidP="000B67AA">
    <w:pPr>
      <w:pStyle w:val="ae"/>
      <w:ind w:firstLineChars="300" w:firstLine="600"/>
      <w:rPr>
        <w:rFonts w:ascii="標楷體" w:eastAsia="標楷體" w:hAnsi="標楷體"/>
        <w:sz w:val="28"/>
        <w:szCs w:val="28"/>
        <w:lang w:eastAsia="zh-TW"/>
      </w:rPr>
    </w:pPr>
    <w:r w:rsidRPr="00CC2487">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CC2487">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CC2487">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C27A1"/>
    <w:rsid w:val="005D035A"/>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B4EAC"/>
    <w:rsid w:val="00BD2D6F"/>
    <w:rsid w:val="00BE3803"/>
    <w:rsid w:val="00BE6039"/>
    <w:rsid w:val="00BF1C60"/>
    <w:rsid w:val="00C01D68"/>
    <w:rsid w:val="00CC2487"/>
    <w:rsid w:val="00CE1915"/>
    <w:rsid w:val="00CE2565"/>
    <w:rsid w:val="00D0740F"/>
    <w:rsid w:val="00D07BAF"/>
    <w:rsid w:val="00D23D3C"/>
    <w:rsid w:val="00D26FD0"/>
    <w:rsid w:val="00D34A54"/>
    <w:rsid w:val="00D64361"/>
    <w:rsid w:val="00D922D1"/>
    <w:rsid w:val="00DB72FC"/>
    <w:rsid w:val="00DF0B53"/>
    <w:rsid w:val="00E02ED0"/>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ji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179</Words>
  <Characters>1024</Characters>
  <Application>Microsoft Office Word</Application>
  <DocSecurity>0</DocSecurity>
  <Lines>8</Lines>
  <Paragraphs>2</Paragraphs>
  <ScaleCrop>false</ScaleCrop>
  <Company>坤展國際安全驗證有限公司  K. J. Certification Co. Ltd.</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2014-09-24T07:23:00Z</dcterms:modified>
</cp:coreProperties>
</file>